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spacing w:after="40"/>
      </w:pPr>
      <w:r>
        <w:t>Menstruation and Dignity Support Policy</w:t>
      </w:r>
    </w:p>
    <w:p>
      <w:pPr>
        <w:jc w:val="left"/>
      </w:pPr>
      <w:r>
        <w:rPr>
          <w:i/>
          <w:color w:val="505050"/>
          <w:sz w:val="22"/>
        </w:rPr>
        <w:t>Koala Klubs Holiday Club Policy</w:t>
      </w:r>
    </w:p>
    <w:p>
      <w:pPr>
        <w:spacing w:after="160"/>
      </w:pPr>
      <w:r>
        <w:rPr>
          <w:b/>
          <w:color w:val="FFFFFF"/>
          <w:sz w:val="18"/>
        </w:rPr>
        <w:t>WHERE APPLICABLE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484"/>
        <w:gridCol w:w="2484"/>
        <w:gridCol w:w="2484"/>
        <w:gridCol w:w="2484"/>
      </w:tblGrid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Version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1.0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Policy Owner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Site Lead / Inclusion Lead</w:t>
            </w:r>
          </w:p>
        </w:tc>
      </w:tr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Approved date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To be inserted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Review date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12 months from approval</w:t>
            </w:r>
          </w:p>
        </w:tc>
      </w:tr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Applies from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Immediate on adoption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Next review trigger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Annual or after incident / legal change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936"/>
      </w:tblGrid>
      <w:tr>
        <w:tc>
          <w:tcPr>
            <w:tcW w:type="dxa" w:w="9360"/>
            <w:shd w:fill="F5F9FC"/>
          </w:tcPr>
          <w:p>
            <w:pPr>
              <w:spacing w:after="0"/>
            </w:pPr>
            <w:r>
              <w:rPr>
                <w:b/>
              </w:rPr>
              <w:t xml:space="preserve">Adaptation note: </w:t>
            </w:r>
            <w:r>
              <w:rPr>
                <w:sz w:val="19"/>
              </w:rPr>
              <w:t>This template should be tailored to the venues, staffing structure, age ranges, commissioner requirements, insurance terms, and local procedures used by Koala Klubs.</w:t>
            </w:r>
          </w:p>
        </w:tc>
      </w:tr>
    </w:tbl>
    <w:p/>
    <w:p>
      <w:pPr>
        <w:pStyle w:val="Heading1"/>
      </w:pPr>
      <w:r>
        <w:t>Purpose</w:t>
      </w:r>
    </w:p>
    <w:p>
      <w:r>
        <w:t>To ensure children can access menstruation-related support privately, safely, and without stigma.</w:t>
      </w:r>
    </w:p>
    <w:p>
      <w:pPr>
        <w:pStyle w:val="Heading1"/>
      </w:pPr>
      <w:r>
        <w:t>Scope</w:t>
      </w:r>
    </w:p>
    <w:p>
      <w:r>
        <w:t>Older primary and secondary-aged children who may require support with menstruation during sessions.</w:t>
      </w:r>
    </w:p>
    <w:p>
      <w:pPr>
        <w:pStyle w:val="Heading1"/>
      </w:pPr>
      <w:r>
        <w:t>Principles</w:t>
      </w:r>
    </w:p>
    <w:p>
      <w:pPr>
        <w:pStyle w:val="ListBullet"/>
        <w:spacing w:after="40"/>
      </w:pPr>
      <w:r>
        <w:t>Support must be respectful, discreet, and inclusive.</w:t>
      </w:r>
    </w:p>
    <w:p>
      <w:pPr>
        <w:pStyle w:val="ListBullet"/>
        <w:spacing w:after="40"/>
      </w:pPr>
      <w:r>
        <w:t>Children should be able to access products, facilities, and trusted adult support when needed.</w:t>
      </w:r>
    </w:p>
    <w:p>
      <w:pPr>
        <w:pStyle w:val="Heading1"/>
      </w:pPr>
      <w:r>
        <w:t>Koala Klubs will</w:t>
      </w:r>
    </w:p>
    <w:p>
      <w:pPr>
        <w:pStyle w:val="ListBullet"/>
        <w:spacing w:after="40"/>
      </w:pPr>
      <w:r>
        <w:t>Maintain suitable products, disposal arrangements, and a clear pathway for seeking help.</w:t>
      </w:r>
    </w:p>
    <w:p>
      <w:pPr>
        <w:pStyle w:val="ListBullet"/>
        <w:spacing w:after="40"/>
      </w:pPr>
      <w:r>
        <w:t>Respond sensitively to pain, leaks, embarrassment, or requests for parent contact.</w:t>
      </w:r>
    </w:p>
    <w:p>
      <w:pPr>
        <w:pStyle w:val="Heading1"/>
      </w:pPr>
      <w:r>
        <w:t>Procedure</w:t>
      </w:r>
    </w:p>
    <w:p>
      <w:pPr>
        <w:pStyle w:val="ListBullet"/>
        <w:spacing w:after="40"/>
      </w:pPr>
      <w:r>
        <w:t>Any associated safeguarding, health, or dignity concern should be recorded and managed through the appropriate policy route.</w:t>
      </w:r>
    </w:p>
    <w:p>
      <w:pPr>
        <w:pStyle w:val="Heading1"/>
      </w:pPr>
      <w:r>
        <w:t>Related forms and records</w:t>
      </w:r>
    </w:p>
    <w:p>
      <w:pPr>
        <w:pStyle w:val="ListBullet"/>
        <w:spacing w:after="40"/>
      </w:pPr>
      <w:r>
        <w:t>Pastoral support note</w:t>
      </w:r>
    </w:p>
    <w:p>
      <w:pPr>
        <w:pStyle w:val="ListBullet"/>
        <w:spacing w:after="40"/>
      </w:pPr>
      <w:r>
        <w:t>Stock check log</w:t>
      </w:r>
    </w:p>
    <w:p>
      <w:pPr>
        <w:pStyle w:val="Heading1"/>
      </w:pPr>
      <w:r>
        <w:t>Review and monitoring</w:t>
      </w:r>
    </w:p>
    <w:p>
      <w:pPr>
        <w:pStyle w:val="ListBullet"/>
        <w:spacing w:after="40"/>
      </w:pPr>
      <w:r>
        <w:t>This policy should be reviewed at least annually and sooner after any serious incident, complaint, commissioner feedback, venue change, or legal/guidance update.</w:t>
      </w:r>
    </w:p>
    <w:p>
      <w:pPr>
        <w:pStyle w:val="ListBullet"/>
        <w:spacing w:after="40"/>
      </w:pPr>
      <w:r>
        <w:t>Managers should check that venue-level practice, staff briefing, and linked forms match this policy in day-to-day delivery.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08" w:right="1152" w:bottom="864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ptos" w:hAnsi="Aptos"/>
        <w:color w:val="5A5A5A"/>
        <w:sz w:val="17"/>
      </w:rPr>
      <w:t xml:space="preserve">Menstruation and Dignity Support Policy - Page </w:t>
    </w:r>
    <w:r>
      <w:fldChar w:fldCharType="begin"/>
      <w:instrText xml:space="preserve">PAGE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ptos" w:hAnsi="Aptos"/>
        <w:color w:val="205683"/>
        <w:sz w:val="17"/>
      </w:rPr>
      <w:t>Koala Klubs Holiday Club Policy Suite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ptos" w:hAnsi="Apto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" w:hAnsi="Aptos"/>
      <w:b/>
      <w:bCs/>
      <w:color w:val="205683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" w:hAnsi="Aptos"/>
      <w:b/>
      <w:bCs/>
      <w:color w:val="205683"/>
      <w:sz w:val="23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" w:hAnsi="Aptos"/>
      <w:b/>
      <w:color w:val="205683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 w:ascii="Aptos" w:hAnsi="Aptos"/>
      <w:i/>
      <w:iCs/>
      <w:color w:val="4F81BD" w:themeColor="accent1"/>
      <w:spacing w:val="15"/>
      <w:sz w:val="2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